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1"/>
        <w:gridCol w:w="1337"/>
      </w:tblGrid>
      <w:tr w:rsidR="0094267D" w:rsidRPr="00250815" w:rsidTr="0094267D">
        <w:tc>
          <w:tcPr>
            <w:tcW w:w="8081" w:type="dxa"/>
          </w:tcPr>
          <w:p w:rsidR="0094267D" w:rsidRPr="007125E5" w:rsidRDefault="007125E5" w:rsidP="007125E5">
            <w:pPr>
              <w:pStyle w:val="ListParagraph"/>
              <w:rPr>
                <w:rFonts w:eastAsiaTheme="majorEastAsia"/>
                <w:b/>
                <w:bCs/>
                <w:szCs w:val="24"/>
              </w:rPr>
            </w:pPr>
            <w:bookmarkStart w:id="0" w:name="_GoBack"/>
            <w:bookmarkEnd w:id="0"/>
            <w:r w:rsidRPr="007125E5">
              <w:rPr>
                <w:rFonts w:eastAsiaTheme="majorEastAsia"/>
                <w:b/>
                <w:bCs/>
                <w:szCs w:val="24"/>
              </w:rPr>
              <w:t>Documents/Activity required</w:t>
            </w:r>
          </w:p>
          <w:p w:rsidR="007125E5" w:rsidRPr="0094267D" w:rsidRDefault="007125E5" w:rsidP="007125E5">
            <w:pPr>
              <w:pStyle w:val="ListParagraph"/>
              <w:rPr>
                <w:b/>
                <w:bCs/>
                <w:sz w:val="20"/>
              </w:rPr>
            </w:pPr>
          </w:p>
        </w:tc>
        <w:tc>
          <w:tcPr>
            <w:tcW w:w="1337" w:type="dxa"/>
          </w:tcPr>
          <w:p w:rsidR="0094267D" w:rsidRPr="007125E5" w:rsidRDefault="007125E5" w:rsidP="007125E5">
            <w:pPr>
              <w:rPr>
                <w:b/>
                <w:bCs/>
                <w:sz w:val="20"/>
              </w:rPr>
            </w:pPr>
            <w:r w:rsidRPr="007125E5">
              <w:rPr>
                <w:rFonts w:eastAsiaTheme="majorEastAsia"/>
                <w:b/>
                <w:bCs/>
                <w:szCs w:val="24"/>
              </w:rPr>
              <w:t>Tick</w:t>
            </w:r>
            <w:r w:rsidR="00AD4A16">
              <w:rPr>
                <w:rFonts w:eastAsiaTheme="majorEastAsia"/>
                <w:b/>
                <w:bCs/>
                <w:szCs w:val="24"/>
              </w:rPr>
              <w:t xml:space="preserve"> if present</w:t>
            </w:r>
          </w:p>
        </w:tc>
      </w:tr>
      <w:tr w:rsidR="0094267D" w:rsidRPr="00250815" w:rsidTr="0094267D">
        <w:tc>
          <w:tcPr>
            <w:tcW w:w="8081" w:type="dxa"/>
          </w:tcPr>
          <w:p w:rsidR="0094267D" w:rsidRPr="0094267D" w:rsidRDefault="0094267D" w:rsidP="0094267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 w:rsidRPr="0094267D">
              <w:rPr>
                <w:b/>
                <w:bCs/>
                <w:sz w:val="20"/>
              </w:rPr>
              <w:t xml:space="preserve"> a full list of learners, including tracking sheets to show grades achieved to date for each subject sampled for moderation. </w:t>
            </w:r>
          </w:p>
          <w:p w:rsidR="0094267D" w:rsidRPr="00250815" w:rsidRDefault="0094267D" w:rsidP="0034792C">
            <w:pPr>
              <w:rPr>
                <w:b/>
                <w:sz w:val="20"/>
              </w:rPr>
            </w:pPr>
          </w:p>
        </w:tc>
        <w:tc>
          <w:tcPr>
            <w:tcW w:w="1337" w:type="dxa"/>
          </w:tcPr>
          <w:p w:rsidR="0094267D" w:rsidRPr="0094267D" w:rsidRDefault="0094267D" w:rsidP="0094267D">
            <w:pPr>
              <w:pStyle w:val="ListParagraph"/>
              <w:rPr>
                <w:b/>
                <w:bCs/>
                <w:sz w:val="20"/>
              </w:rPr>
            </w:pPr>
          </w:p>
        </w:tc>
      </w:tr>
      <w:tr w:rsidR="0094267D" w:rsidRPr="00250815" w:rsidTr="0094267D">
        <w:tc>
          <w:tcPr>
            <w:tcW w:w="8081" w:type="dxa"/>
          </w:tcPr>
          <w:p w:rsidR="0094267D" w:rsidRPr="0094267D" w:rsidRDefault="0094267D" w:rsidP="0094267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the</w:t>
            </w:r>
            <w:r w:rsidRPr="0094267D">
              <w:rPr>
                <w:b/>
                <w:bCs/>
                <w:sz w:val="20"/>
              </w:rPr>
              <w:t xml:space="preserve"> unit specifications (including grade descriptors)</w:t>
            </w:r>
            <w:r>
              <w:rPr>
                <w:b/>
                <w:bCs/>
                <w:sz w:val="20"/>
              </w:rPr>
              <w:t xml:space="preserve"> for each of the subjects sampled for moderation</w:t>
            </w:r>
            <w:r w:rsidRPr="0094267D">
              <w:rPr>
                <w:b/>
                <w:bCs/>
                <w:sz w:val="20"/>
              </w:rPr>
              <w:t>, plus the additional unit information (AUI).  It is often helpful if the Subject Moderator has received this in advance of the visit.</w:t>
            </w:r>
          </w:p>
          <w:p w:rsidR="0094267D" w:rsidRPr="00250815" w:rsidRDefault="0094267D" w:rsidP="0034792C">
            <w:pPr>
              <w:rPr>
                <w:b/>
                <w:sz w:val="20"/>
              </w:rPr>
            </w:pPr>
          </w:p>
        </w:tc>
        <w:tc>
          <w:tcPr>
            <w:tcW w:w="1337" w:type="dxa"/>
          </w:tcPr>
          <w:p w:rsidR="0094267D" w:rsidRDefault="0094267D" w:rsidP="0094267D">
            <w:pPr>
              <w:pStyle w:val="ListParagraph"/>
              <w:rPr>
                <w:b/>
                <w:bCs/>
                <w:sz w:val="20"/>
              </w:rPr>
            </w:pPr>
          </w:p>
        </w:tc>
      </w:tr>
      <w:tr w:rsidR="0094267D" w:rsidRPr="00250815" w:rsidTr="0094267D">
        <w:tc>
          <w:tcPr>
            <w:tcW w:w="8081" w:type="dxa"/>
          </w:tcPr>
          <w:p w:rsidR="0094267D" w:rsidRPr="0094267D" w:rsidRDefault="0094267D" w:rsidP="0094267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 w:rsidRPr="0094267D">
              <w:rPr>
                <w:b/>
                <w:bCs/>
                <w:sz w:val="20"/>
              </w:rPr>
              <w:t xml:space="preserve"> all assignment briefing sheets</w:t>
            </w:r>
            <w:r>
              <w:rPr>
                <w:b/>
                <w:bCs/>
                <w:sz w:val="20"/>
              </w:rPr>
              <w:t xml:space="preserve"> which combine to demonstrate the assessment of the whole unit</w:t>
            </w:r>
            <w:r w:rsidRPr="0094267D">
              <w:rPr>
                <w:b/>
                <w:bCs/>
                <w:sz w:val="20"/>
              </w:rPr>
              <w:t xml:space="preserve"> &amp; records of their internal verification</w:t>
            </w:r>
          </w:p>
          <w:p w:rsidR="0094267D" w:rsidRPr="00250815" w:rsidRDefault="0094267D" w:rsidP="0034792C">
            <w:pPr>
              <w:rPr>
                <w:b/>
                <w:sz w:val="20"/>
              </w:rPr>
            </w:pPr>
          </w:p>
        </w:tc>
        <w:tc>
          <w:tcPr>
            <w:tcW w:w="1337" w:type="dxa"/>
          </w:tcPr>
          <w:p w:rsidR="0094267D" w:rsidRPr="0094267D" w:rsidRDefault="0094267D" w:rsidP="0094267D">
            <w:pPr>
              <w:pStyle w:val="ListParagraph"/>
              <w:rPr>
                <w:b/>
                <w:bCs/>
                <w:sz w:val="20"/>
              </w:rPr>
            </w:pPr>
          </w:p>
        </w:tc>
      </w:tr>
      <w:tr w:rsidR="0094267D" w:rsidRPr="00250815" w:rsidTr="0094267D">
        <w:tc>
          <w:tcPr>
            <w:tcW w:w="8081" w:type="dxa"/>
          </w:tcPr>
          <w:p w:rsidR="0094267D" w:rsidRPr="0094267D" w:rsidRDefault="0094267D" w:rsidP="0094267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94267D">
              <w:rPr>
                <w:b/>
                <w:bCs/>
                <w:sz w:val="20"/>
              </w:rPr>
              <w:t xml:space="preserve"> all completed assignment feedback sheets for all pieces of assessed work in the sample</w:t>
            </w:r>
          </w:p>
          <w:p w:rsidR="0094267D" w:rsidRPr="0094267D" w:rsidRDefault="0094267D" w:rsidP="0094267D">
            <w:pPr>
              <w:pStyle w:val="ListParagraph"/>
              <w:rPr>
                <w:b/>
                <w:sz w:val="20"/>
              </w:rPr>
            </w:pPr>
          </w:p>
        </w:tc>
        <w:tc>
          <w:tcPr>
            <w:tcW w:w="1337" w:type="dxa"/>
          </w:tcPr>
          <w:p w:rsidR="0094267D" w:rsidRPr="0094267D" w:rsidRDefault="0094267D" w:rsidP="0094267D">
            <w:pPr>
              <w:pStyle w:val="ListParagraph"/>
              <w:rPr>
                <w:b/>
                <w:bCs/>
                <w:sz w:val="20"/>
              </w:rPr>
            </w:pPr>
          </w:p>
        </w:tc>
      </w:tr>
      <w:tr w:rsidR="0094267D" w:rsidRPr="00250815" w:rsidTr="0094267D">
        <w:tc>
          <w:tcPr>
            <w:tcW w:w="8081" w:type="dxa"/>
          </w:tcPr>
          <w:p w:rsidR="0094267D" w:rsidRPr="007125E5" w:rsidRDefault="0094267D" w:rsidP="0094267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assessment schedules </w:t>
            </w:r>
            <w:proofErr w:type="gramStart"/>
            <w:r>
              <w:rPr>
                <w:b/>
                <w:bCs/>
                <w:sz w:val="20"/>
              </w:rPr>
              <w:t xml:space="preserve">which  </w:t>
            </w:r>
            <w:r w:rsidRPr="0094267D">
              <w:rPr>
                <w:b/>
                <w:bCs/>
                <w:sz w:val="20"/>
              </w:rPr>
              <w:t>show</w:t>
            </w:r>
            <w:proofErr w:type="gramEnd"/>
            <w:r w:rsidRPr="0094267D">
              <w:rPr>
                <w:b/>
                <w:bCs/>
                <w:sz w:val="20"/>
              </w:rPr>
              <w:t xml:space="preserve"> how the remaining LOs will be assessed </w:t>
            </w:r>
            <w:r>
              <w:rPr>
                <w:b/>
                <w:bCs/>
                <w:sz w:val="20"/>
              </w:rPr>
              <w:t>i</w:t>
            </w:r>
            <w:r w:rsidRPr="0094267D">
              <w:rPr>
                <w:b/>
                <w:bCs/>
                <w:sz w:val="20"/>
              </w:rPr>
              <w:t xml:space="preserve">f the assessed work </w:t>
            </w:r>
            <w:r>
              <w:rPr>
                <w:b/>
                <w:bCs/>
                <w:sz w:val="20"/>
              </w:rPr>
              <w:t xml:space="preserve">in the sample </w:t>
            </w:r>
            <w:r w:rsidRPr="0094267D">
              <w:rPr>
                <w:b/>
                <w:bCs/>
                <w:sz w:val="20"/>
              </w:rPr>
              <w:t>does not cover the whole unit.</w:t>
            </w:r>
          </w:p>
          <w:p w:rsidR="007125E5" w:rsidRPr="0094267D" w:rsidRDefault="007125E5" w:rsidP="007125E5">
            <w:pPr>
              <w:pStyle w:val="ListParagraph"/>
              <w:rPr>
                <w:b/>
                <w:sz w:val="20"/>
              </w:rPr>
            </w:pPr>
          </w:p>
        </w:tc>
        <w:tc>
          <w:tcPr>
            <w:tcW w:w="1337" w:type="dxa"/>
          </w:tcPr>
          <w:p w:rsidR="0094267D" w:rsidRDefault="0094267D" w:rsidP="0094267D">
            <w:pPr>
              <w:pStyle w:val="ListParagraph"/>
              <w:rPr>
                <w:b/>
                <w:bCs/>
                <w:sz w:val="20"/>
              </w:rPr>
            </w:pPr>
          </w:p>
        </w:tc>
      </w:tr>
      <w:tr w:rsidR="0094267D" w:rsidRPr="00250815" w:rsidTr="0094267D">
        <w:tc>
          <w:tcPr>
            <w:tcW w:w="8081" w:type="dxa"/>
          </w:tcPr>
          <w:p w:rsidR="0094267D" w:rsidRPr="007125E5" w:rsidRDefault="0094267D" w:rsidP="007125E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7125E5">
              <w:rPr>
                <w:b/>
                <w:bCs/>
                <w:sz w:val="20"/>
              </w:rPr>
              <w:t>Students’ assessed work</w:t>
            </w:r>
            <w:r w:rsidR="007125E5">
              <w:rPr>
                <w:b/>
                <w:bCs/>
                <w:sz w:val="20"/>
              </w:rPr>
              <w:t>.  This does not need to be photocopied as it will remain on-site</w:t>
            </w:r>
          </w:p>
          <w:p w:rsidR="007125E5" w:rsidRPr="007125E5" w:rsidRDefault="007125E5" w:rsidP="007125E5">
            <w:pPr>
              <w:pStyle w:val="ListParagraph"/>
              <w:rPr>
                <w:b/>
                <w:sz w:val="20"/>
              </w:rPr>
            </w:pPr>
          </w:p>
        </w:tc>
        <w:tc>
          <w:tcPr>
            <w:tcW w:w="1337" w:type="dxa"/>
          </w:tcPr>
          <w:p w:rsidR="0094267D" w:rsidRPr="00250815" w:rsidRDefault="0094267D" w:rsidP="0034792C">
            <w:pPr>
              <w:rPr>
                <w:b/>
                <w:bCs/>
                <w:sz w:val="20"/>
              </w:rPr>
            </w:pPr>
          </w:p>
        </w:tc>
      </w:tr>
      <w:tr w:rsidR="007125E5" w:rsidRPr="00250815" w:rsidTr="0094267D">
        <w:tc>
          <w:tcPr>
            <w:tcW w:w="8081" w:type="dxa"/>
          </w:tcPr>
          <w:p w:rsidR="007125E5" w:rsidRDefault="007125E5" w:rsidP="007125E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Any additional samples (if required) to cover the range of student performance within subjects and to demonstrate IV processes. Additional samples should be noted at the end of this document.</w:t>
            </w:r>
          </w:p>
          <w:p w:rsidR="007125E5" w:rsidRPr="007125E5" w:rsidRDefault="007125E5" w:rsidP="007125E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1337" w:type="dxa"/>
          </w:tcPr>
          <w:p w:rsidR="007125E5" w:rsidRPr="00250815" w:rsidRDefault="007125E5" w:rsidP="0034792C">
            <w:pPr>
              <w:rPr>
                <w:b/>
                <w:bCs/>
                <w:sz w:val="20"/>
              </w:rPr>
            </w:pPr>
          </w:p>
        </w:tc>
      </w:tr>
      <w:tr w:rsidR="0094267D" w:rsidRPr="00250815" w:rsidTr="0094267D">
        <w:tc>
          <w:tcPr>
            <w:tcW w:w="8081" w:type="dxa"/>
          </w:tcPr>
          <w:p w:rsidR="0094267D" w:rsidRDefault="0094267D" w:rsidP="007125E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 w:rsidRPr="007125E5">
              <w:rPr>
                <w:b/>
                <w:bCs/>
                <w:sz w:val="20"/>
              </w:rPr>
              <w:t xml:space="preserve">Internal Verification Policy Document / Guidelines for your Centre </w:t>
            </w:r>
          </w:p>
          <w:p w:rsidR="007125E5" w:rsidRPr="007125E5" w:rsidRDefault="007125E5" w:rsidP="007125E5">
            <w:pPr>
              <w:pStyle w:val="ListParagraph"/>
              <w:rPr>
                <w:b/>
                <w:bCs/>
                <w:sz w:val="20"/>
              </w:rPr>
            </w:pPr>
          </w:p>
        </w:tc>
        <w:tc>
          <w:tcPr>
            <w:tcW w:w="1337" w:type="dxa"/>
          </w:tcPr>
          <w:p w:rsidR="0094267D" w:rsidRPr="00250815" w:rsidRDefault="0094267D" w:rsidP="0034792C">
            <w:pPr>
              <w:rPr>
                <w:b/>
                <w:bCs/>
                <w:sz w:val="20"/>
              </w:rPr>
            </w:pPr>
          </w:p>
        </w:tc>
      </w:tr>
      <w:tr w:rsidR="0094267D" w:rsidRPr="00250815" w:rsidTr="0094267D">
        <w:tc>
          <w:tcPr>
            <w:tcW w:w="8081" w:type="dxa"/>
            <w:tcBorders>
              <w:bottom w:val="single" w:sz="4" w:space="0" w:color="auto"/>
            </w:tcBorders>
          </w:tcPr>
          <w:p w:rsidR="0094267D" w:rsidRDefault="0094267D" w:rsidP="007125E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 w:rsidRPr="007125E5">
              <w:rPr>
                <w:b/>
                <w:bCs/>
                <w:sz w:val="20"/>
              </w:rPr>
              <w:t>Records of internal verification of assessment decisions, the verification sampling plan and Grading Assessment Plan</w:t>
            </w:r>
          </w:p>
          <w:p w:rsidR="007125E5" w:rsidRPr="007125E5" w:rsidRDefault="007125E5" w:rsidP="007125E5">
            <w:pPr>
              <w:pStyle w:val="ListParagraph"/>
              <w:rPr>
                <w:b/>
                <w:bCs/>
                <w:sz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94267D" w:rsidRPr="00250815" w:rsidRDefault="0094267D" w:rsidP="0034792C">
            <w:pPr>
              <w:rPr>
                <w:b/>
                <w:bCs/>
                <w:sz w:val="20"/>
              </w:rPr>
            </w:pPr>
          </w:p>
        </w:tc>
      </w:tr>
    </w:tbl>
    <w:p w:rsidR="00F240A8" w:rsidRDefault="00551A56"/>
    <w:p w:rsidR="007125E5" w:rsidRDefault="007125E5"/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395"/>
        <w:gridCol w:w="2410"/>
        <w:gridCol w:w="1396"/>
        <w:gridCol w:w="1217"/>
      </w:tblGrid>
      <w:tr w:rsidR="007125E5" w:rsidTr="007125E5">
        <w:tc>
          <w:tcPr>
            <w:tcW w:w="4395" w:type="dxa"/>
          </w:tcPr>
          <w:p w:rsidR="007125E5" w:rsidRDefault="007125E5">
            <w:r w:rsidRPr="007125E5">
              <w:rPr>
                <w:rFonts w:eastAsiaTheme="majorEastAsia"/>
                <w:b/>
                <w:bCs/>
                <w:szCs w:val="24"/>
              </w:rPr>
              <w:t>Name of student</w:t>
            </w:r>
          </w:p>
        </w:tc>
        <w:tc>
          <w:tcPr>
            <w:tcW w:w="2410" w:type="dxa"/>
          </w:tcPr>
          <w:p w:rsidR="007125E5" w:rsidRDefault="007125E5">
            <w:r w:rsidRPr="007125E5">
              <w:rPr>
                <w:rFonts w:eastAsiaTheme="majorEastAsia"/>
                <w:b/>
                <w:bCs/>
                <w:szCs w:val="24"/>
              </w:rPr>
              <w:t>Unit sampled</w:t>
            </w:r>
          </w:p>
        </w:tc>
        <w:tc>
          <w:tcPr>
            <w:tcW w:w="1396" w:type="dxa"/>
          </w:tcPr>
          <w:p w:rsidR="007125E5" w:rsidRPr="007125E5" w:rsidRDefault="007125E5">
            <w:pPr>
              <w:rPr>
                <w:rFonts w:eastAsiaTheme="majorEastAsia"/>
                <w:b/>
                <w:bCs/>
                <w:szCs w:val="24"/>
              </w:rPr>
            </w:pPr>
            <w:r w:rsidRPr="007125E5">
              <w:rPr>
                <w:rFonts w:eastAsiaTheme="majorEastAsia"/>
                <w:b/>
                <w:bCs/>
                <w:szCs w:val="24"/>
              </w:rPr>
              <w:t>Reason-</w:t>
            </w:r>
          </w:p>
          <w:p w:rsidR="007125E5" w:rsidRPr="007125E5" w:rsidRDefault="007125E5">
            <w:pPr>
              <w:rPr>
                <w:rFonts w:eastAsiaTheme="majorEastAsia"/>
                <w:b/>
                <w:bCs/>
                <w:szCs w:val="24"/>
              </w:rPr>
            </w:pPr>
            <w:r w:rsidRPr="007125E5">
              <w:rPr>
                <w:rFonts w:eastAsiaTheme="majorEastAsia"/>
                <w:b/>
                <w:bCs/>
                <w:szCs w:val="24"/>
              </w:rPr>
              <w:t>Range or IV?</w:t>
            </w:r>
          </w:p>
        </w:tc>
        <w:tc>
          <w:tcPr>
            <w:tcW w:w="1217" w:type="dxa"/>
          </w:tcPr>
          <w:p w:rsidR="007125E5" w:rsidRDefault="007125E5">
            <w:r w:rsidRPr="007125E5">
              <w:rPr>
                <w:rFonts w:eastAsiaTheme="majorEastAsia"/>
                <w:b/>
                <w:bCs/>
                <w:szCs w:val="24"/>
              </w:rPr>
              <w:t>Tick if present</w:t>
            </w:r>
          </w:p>
        </w:tc>
      </w:tr>
      <w:tr w:rsidR="007125E5" w:rsidTr="007125E5">
        <w:tc>
          <w:tcPr>
            <w:tcW w:w="4395" w:type="dxa"/>
          </w:tcPr>
          <w:p w:rsidR="007125E5" w:rsidRPr="007125E5" w:rsidRDefault="007125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125E5" w:rsidRPr="007125E5" w:rsidRDefault="007125E5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7125E5" w:rsidRPr="007125E5" w:rsidRDefault="007125E5">
            <w:pPr>
              <w:rPr>
                <w:rFonts w:eastAsiaTheme="majorEastAsia"/>
                <w:bCs/>
                <w:sz w:val="22"/>
                <w:szCs w:val="22"/>
              </w:rPr>
            </w:pPr>
          </w:p>
        </w:tc>
        <w:tc>
          <w:tcPr>
            <w:tcW w:w="1217" w:type="dxa"/>
          </w:tcPr>
          <w:p w:rsidR="007125E5" w:rsidRPr="007125E5" w:rsidRDefault="007125E5">
            <w:pPr>
              <w:rPr>
                <w:sz w:val="22"/>
                <w:szCs w:val="22"/>
              </w:rPr>
            </w:pPr>
          </w:p>
        </w:tc>
      </w:tr>
      <w:tr w:rsidR="007125E5" w:rsidTr="007125E5">
        <w:tc>
          <w:tcPr>
            <w:tcW w:w="4395" w:type="dxa"/>
          </w:tcPr>
          <w:p w:rsidR="007125E5" w:rsidRPr="007125E5" w:rsidRDefault="007125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125E5" w:rsidRPr="007125E5" w:rsidRDefault="007125E5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7125E5" w:rsidRPr="007125E5" w:rsidRDefault="007125E5">
            <w:pPr>
              <w:rPr>
                <w:rFonts w:eastAsiaTheme="majorEastAsia"/>
                <w:bCs/>
                <w:sz w:val="22"/>
                <w:szCs w:val="22"/>
              </w:rPr>
            </w:pPr>
          </w:p>
        </w:tc>
        <w:tc>
          <w:tcPr>
            <w:tcW w:w="1217" w:type="dxa"/>
          </w:tcPr>
          <w:p w:rsidR="007125E5" w:rsidRPr="007125E5" w:rsidRDefault="007125E5">
            <w:pPr>
              <w:rPr>
                <w:sz w:val="22"/>
                <w:szCs w:val="22"/>
              </w:rPr>
            </w:pPr>
          </w:p>
        </w:tc>
      </w:tr>
      <w:tr w:rsidR="007125E5" w:rsidTr="007125E5">
        <w:tc>
          <w:tcPr>
            <w:tcW w:w="4395" w:type="dxa"/>
          </w:tcPr>
          <w:p w:rsidR="007125E5" w:rsidRPr="007125E5" w:rsidRDefault="007125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125E5" w:rsidRPr="007125E5" w:rsidRDefault="007125E5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7125E5" w:rsidRPr="007125E5" w:rsidRDefault="007125E5">
            <w:pPr>
              <w:rPr>
                <w:rFonts w:eastAsiaTheme="majorEastAsia"/>
                <w:bCs/>
                <w:sz w:val="22"/>
                <w:szCs w:val="22"/>
              </w:rPr>
            </w:pPr>
          </w:p>
        </w:tc>
        <w:tc>
          <w:tcPr>
            <w:tcW w:w="1217" w:type="dxa"/>
          </w:tcPr>
          <w:p w:rsidR="007125E5" w:rsidRPr="007125E5" w:rsidRDefault="007125E5">
            <w:pPr>
              <w:rPr>
                <w:sz w:val="22"/>
                <w:szCs w:val="22"/>
              </w:rPr>
            </w:pPr>
          </w:p>
        </w:tc>
      </w:tr>
      <w:tr w:rsidR="007125E5" w:rsidTr="007125E5">
        <w:tc>
          <w:tcPr>
            <w:tcW w:w="4395" w:type="dxa"/>
          </w:tcPr>
          <w:p w:rsidR="007125E5" w:rsidRPr="007125E5" w:rsidRDefault="007125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125E5" w:rsidRPr="007125E5" w:rsidRDefault="007125E5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7125E5" w:rsidRPr="007125E5" w:rsidRDefault="007125E5">
            <w:pPr>
              <w:rPr>
                <w:rFonts w:eastAsiaTheme="majorEastAsia"/>
                <w:bCs/>
                <w:sz w:val="22"/>
                <w:szCs w:val="22"/>
              </w:rPr>
            </w:pPr>
          </w:p>
        </w:tc>
        <w:tc>
          <w:tcPr>
            <w:tcW w:w="1217" w:type="dxa"/>
          </w:tcPr>
          <w:p w:rsidR="007125E5" w:rsidRPr="007125E5" w:rsidRDefault="007125E5">
            <w:pPr>
              <w:rPr>
                <w:sz w:val="22"/>
                <w:szCs w:val="22"/>
              </w:rPr>
            </w:pPr>
          </w:p>
        </w:tc>
      </w:tr>
      <w:tr w:rsidR="007125E5" w:rsidTr="007125E5">
        <w:tc>
          <w:tcPr>
            <w:tcW w:w="4395" w:type="dxa"/>
          </w:tcPr>
          <w:p w:rsidR="007125E5" w:rsidRPr="007125E5" w:rsidRDefault="007125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125E5" w:rsidRPr="007125E5" w:rsidRDefault="007125E5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7125E5" w:rsidRPr="007125E5" w:rsidRDefault="007125E5">
            <w:pPr>
              <w:rPr>
                <w:rFonts w:eastAsiaTheme="majorEastAsia"/>
                <w:bCs/>
                <w:sz w:val="22"/>
                <w:szCs w:val="22"/>
              </w:rPr>
            </w:pPr>
          </w:p>
        </w:tc>
        <w:tc>
          <w:tcPr>
            <w:tcW w:w="1217" w:type="dxa"/>
          </w:tcPr>
          <w:p w:rsidR="007125E5" w:rsidRPr="007125E5" w:rsidRDefault="007125E5">
            <w:pPr>
              <w:rPr>
                <w:sz w:val="22"/>
                <w:szCs w:val="22"/>
              </w:rPr>
            </w:pPr>
          </w:p>
        </w:tc>
      </w:tr>
      <w:tr w:rsidR="007125E5" w:rsidTr="007125E5">
        <w:tc>
          <w:tcPr>
            <w:tcW w:w="4395" w:type="dxa"/>
          </w:tcPr>
          <w:p w:rsidR="007125E5" w:rsidRPr="007125E5" w:rsidRDefault="007125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125E5" w:rsidRPr="007125E5" w:rsidRDefault="007125E5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7125E5" w:rsidRPr="007125E5" w:rsidRDefault="007125E5">
            <w:pPr>
              <w:rPr>
                <w:rFonts w:eastAsiaTheme="majorEastAsia"/>
                <w:bCs/>
                <w:sz w:val="22"/>
                <w:szCs w:val="22"/>
              </w:rPr>
            </w:pPr>
          </w:p>
        </w:tc>
        <w:tc>
          <w:tcPr>
            <w:tcW w:w="1217" w:type="dxa"/>
          </w:tcPr>
          <w:p w:rsidR="007125E5" w:rsidRPr="007125E5" w:rsidRDefault="007125E5">
            <w:pPr>
              <w:rPr>
                <w:sz w:val="22"/>
                <w:szCs w:val="22"/>
              </w:rPr>
            </w:pPr>
          </w:p>
        </w:tc>
      </w:tr>
    </w:tbl>
    <w:p w:rsidR="007125E5" w:rsidRDefault="007125E5"/>
    <w:sectPr w:rsidR="007125E5" w:rsidSect="0094267D">
      <w:headerReference w:type="default" r:id="rId7"/>
      <w:pgSz w:w="11906" w:h="16838"/>
      <w:pgMar w:top="17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67D" w:rsidRDefault="0094267D" w:rsidP="0094267D">
      <w:r>
        <w:separator/>
      </w:r>
    </w:p>
  </w:endnote>
  <w:endnote w:type="continuationSeparator" w:id="0">
    <w:p w:rsidR="0094267D" w:rsidRDefault="0094267D" w:rsidP="0094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67D" w:rsidRDefault="0094267D" w:rsidP="0094267D">
      <w:r>
        <w:separator/>
      </w:r>
    </w:p>
  </w:footnote>
  <w:footnote w:type="continuationSeparator" w:id="0">
    <w:p w:rsidR="0094267D" w:rsidRDefault="0094267D" w:rsidP="0094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67D" w:rsidRPr="0094267D" w:rsidRDefault="0094267D" w:rsidP="0094267D">
    <w:pPr>
      <w:pStyle w:val="BodyTextIndent2"/>
      <w:ind w:left="0" w:firstLine="0"/>
      <w:jc w:val="center"/>
      <w:rPr>
        <w:rFonts w:cs="Arial"/>
        <w:bCs/>
        <w:color w:val="00A7A7"/>
        <w:spacing w:val="5"/>
        <w:kern w:val="28"/>
        <w:sz w:val="48"/>
        <w:szCs w:val="48"/>
        <w:lang w:eastAsia="en-GB"/>
      </w:rPr>
    </w:pPr>
    <w:r w:rsidRPr="0094267D">
      <w:rPr>
        <w:rFonts w:cs="Arial"/>
        <w:bCs/>
        <w:color w:val="00A7A7"/>
        <w:spacing w:val="5"/>
        <w:kern w:val="28"/>
        <w:sz w:val="48"/>
        <w:szCs w:val="48"/>
        <w:lang w:eastAsia="en-GB"/>
      </w:rPr>
      <w:t>Access to HE Subject Moderation</w:t>
    </w:r>
  </w:p>
  <w:p w:rsidR="0094267D" w:rsidRPr="0094267D" w:rsidRDefault="0094267D" w:rsidP="0094267D">
    <w:pPr>
      <w:pStyle w:val="BodyTextIndent2"/>
      <w:ind w:left="0" w:firstLine="0"/>
      <w:jc w:val="center"/>
      <w:rPr>
        <w:b/>
        <w:bCs/>
        <w:color w:val="EA5B0C"/>
        <w:sz w:val="32"/>
        <w:szCs w:val="32"/>
        <w:lang w:eastAsia="en-GB"/>
      </w:rPr>
    </w:pPr>
    <w:r w:rsidRPr="0094267D">
      <w:rPr>
        <w:b/>
        <w:bCs/>
        <w:color w:val="EA5B0C"/>
        <w:sz w:val="32"/>
        <w:szCs w:val="32"/>
        <w:lang w:eastAsia="en-GB"/>
      </w:rPr>
      <w:t>On-site checklist for Centres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25BAC"/>
    <w:multiLevelType w:val="hybridMultilevel"/>
    <w:tmpl w:val="4F1C4926"/>
    <w:lvl w:ilvl="0" w:tplc="F60607F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7D"/>
    <w:rsid w:val="00031F90"/>
    <w:rsid w:val="00551A56"/>
    <w:rsid w:val="007125E5"/>
    <w:rsid w:val="0094267D"/>
    <w:rsid w:val="00AD4A16"/>
    <w:rsid w:val="00B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9A851-4861-4630-8197-C83D712C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67D"/>
    <w:pPr>
      <w:spacing w:after="0" w:line="240" w:lineRule="auto"/>
    </w:pPr>
    <w:rPr>
      <w:rFonts w:ascii="Arial" w:eastAsia="Times New Roman" w:hAnsi="Arial" w:cs="Arial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67D"/>
    <w:rPr>
      <w:rFonts w:ascii="Arial" w:eastAsia="Times New Roman" w:hAnsi="Arial" w:cs="Arial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26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67D"/>
    <w:rPr>
      <w:rFonts w:ascii="Arial" w:eastAsia="Times New Roman" w:hAnsi="Arial" w:cs="Arial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94267D"/>
    <w:pPr>
      <w:ind w:left="720" w:hanging="720"/>
      <w:jc w:val="both"/>
    </w:pPr>
    <w:rPr>
      <w:rFonts w:cs="Times New Roman"/>
      <w:sz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4267D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4267D"/>
    <w:pPr>
      <w:ind w:left="720"/>
      <w:contextualSpacing/>
    </w:pPr>
  </w:style>
  <w:style w:type="table" w:styleId="TableGrid">
    <w:name w:val="Table Grid"/>
    <w:basedOn w:val="TableNormal"/>
    <w:uiPriority w:val="59"/>
    <w:rsid w:val="0071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Chesters</dc:creator>
  <cp:lastModifiedBy>Sarah Doe</cp:lastModifiedBy>
  <cp:revision>2</cp:revision>
  <dcterms:created xsi:type="dcterms:W3CDTF">2017-10-30T11:27:00Z</dcterms:created>
  <dcterms:modified xsi:type="dcterms:W3CDTF">2017-10-30T11:27:00Z</dcterms:modified>
</cp:coreProperties>
</file>